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6"/>
          <w:szCs w:val="36"/>
          <w:lang w:val="en-US" w:eastAsia="zh-CN"/>
        </w:rPr>
        <w:t>202</w:t>
      </w:r>
      <w:r>
        <w:rPr>
          <w:rFonts w:hint="eastAsia" w:ascii="Times New Roman" w:hAnsi="Times New Roman" w:eastAsia="黑体" w:cs="Times New Roman"/>
          <w:color w:val="000000"/>
          <w:sz w:val="36"/>
          <w:szCs w:val="36"/>
          <w:lang w:val="en-US" w:eastAsia="zh-CN"/>
        </w:rPr>
        <w:t>4</w:t>
      </w:r>
      <w:r>
        <w:rPr>
          <w:rFonts w:hint="default" w:ascii="Times New Roman" w:hAnsi="Times New Roman" w:eastAsia="黑体" w:cs="Times New Roman"/>
          <w:color w:val="000000"/>
          <w:sz w:val="36"/>
          <w:szCs w:val="36"/>
          <w:lang w:val="en-US" w:eastAsia="zh-CN"/>
        </w:rPr>
        <w:t>杭州市百强企业申报表填表说明</w:t>
      </w:r>
    </w:p>
    <w:p>
      <w:pPr>
        <w:keepNext w:val="0"/>
        <w:keepLines w:val="0"/>
        <w:pageBreakBefore w:val="0"/>
        <w:widowControl/>
        <w:suppressLineNumbers w:val="0"/>
        <w:kinsoku/>
        <w:wordWrap/>
        <w:overflowPunct/>
        <w:topLinePunct w:val="0"/>
        <w:autoSpaceDE/>
        <w:autoSpaceDN/>
        <w:bidi w:val="0"/>
        <w:adjustRightInd w:val="0"/>
        <w:snapToGrid w:val="0"/>
        <w:spacing w:before="163" w:beforeLines="50" w:after="163" w:afterLines="50"/>
        <w:jc w:val="center"/>
        <w:textAlignment w:val="auto"/>
        <w:rPr>
          <w:rFonts w:hint="default" w:ascii="Times New Roman" w:hAnsi="Times New Roman" w:eastAsia="楷体_GB2312" w:cs="Times New Roman"/>
          <w:color w:val="000000"/>
          <w:sz w:val="30"/>
          <w:szCs w:val="30"/>
        </w:rPr>
      </w:pPr>
    </w:p>
    <w:p>
      <w:pPr>
        <w:keepNext w:val="0"/>
        <w:keepLines w:val="0"/>
        <w:pageBreakBefore w:val="0"/>
        <w:numPr>
          <w:ilvl w:val="0"/>
          <w:numId w:val="0"/>
        </w:numPr>
        <w:wordWrap/>
        <w:overflowPunct/>
        <w:topLinePunct w:val="0"/>
        <w:bidi w:val="0"/>
        <w:adjustRightInd w:val="0"/>
        <w:snapToGrid/>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2024杭州市综合百强、制造业百强、数字经济百强</w:t>
      </w:r>
      <w:r>
        <w:rPr>
          <w:rFonts w:hint="default" w:ascii="Times New Roman" w:hAnsi="Times New Roman" w:eastAsia="仿宋_GB2312" w:cs="Times New Roman"/>
          <w:color w:val="auto"/>
          <w:sz w:val="32"/>
          <w:szCs w:val="32"/>
          <w:lang w:val="en-US" w:eastAsia="zh-CN"/>
        </w:rPr>
        <w:t>申报表主要栏目填报说明如下：</w:t>
      </w:r>
    </w:p>
    <w:p>
      <w:pPr>
        <w:keepNext w:val="0"/>
        <w:keepLines w:val="0"/>
        <w:pageBreakBefore w:val="0"/>
        <w:numPr>
          <w:ilvl w:val="0"/>
          <w:numId w:val="1"/>
        </w:numPr>
        <w:wordWrap/>
        <w:overflowPunct/>
        <w:topLinePunct w:val="0"/>
        <w:bidi w:val="0"/>
        <w:adjustRightInd w:val="0"/>
        <w:snapToGrid/>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eastAsia" w:ascii="黑体" w:hAnsi="黑体" w:eastAsia="黑体" w:cs="黑体"/>
          <w:b w:val="0"/>
          <w:bCs w:val="0"/>
          <w:color w:val="auto"/>
          <w:sz w:val="32"/>
          <w:szCs w:val="32"/>
          <w:lang w:val="en-US" w:eastAsia="zh-CN"/>
        </w:rPr>
        <w:t>企业性质栏：</w:t>
      </w:r>
      <w:r>
        <w:rPr>
          <w:rFonts w:hint="default" w:ascii="Times New Roman" w:hAnsi="Times New Roman" w:eastAsia="仿宋_GB2312" w:cs="Times New Roman"/>
          <w:color w:val="auto"/>
          <w:sz w:val="32"/>
          <w:szCs w:val="32"/>
          <w:lang w:val="en-US" w:eastAsia="zh-CN"/>
        </w:rPr>
        <w:t>请从“国有”、“民营”</w:t>
      </w:r>
      <w:r>
        <w:rPr>
          <w:rFonts w:hint="eastAsia" w:ascii="Times New Roman" w:hAnsi="Times New Roman" w:eastAsia="仿宋_GB2312" w:cs="Times New Roman"/>
          <w:color w:val="auto"/>
          <w:sz w:val="32"/>
          <w:szCs w:val="32"/>
          <w:lang w:val="en-US" w:eastAsia="zh-CN"/>
        </w:rPr>
        <w:t>、“其他”三</w:t>
      </w:r>
      <w:r>
        <w:rPr>
          <w:rFonts w:hint="default" w:ascii="Times New Roman" w:hAnsi="Times New Roman" w:eastAsia="仿宋_GB2312" w:cs="Times New Roman"/>
          <w:color w:val="auto"/>
          <w:sz w:val="32"/>
          <w:szCs w:val="32"/>
          <w:lang w:val="en-US" w:eastAsia="zh-CN"/>
        </w:rPr>
        <w:t>种性质中选一项打√。国有是指国有及国有控股企业，民营是指非国有企业，包括集体和私营企业等。</w:t>
      </w:r>
    </w:p>
    <w:p>
      <w:pPr>
        <w:keepNext w:val="0"/>
        <w:keepLines w:val="0"/>
        <w:pageBreakBefore w:val="0"/>
        <w:wordWrap/>
        <w:overflowPunct/>
        <w:topLinePunct w:val="0"/>
        <w:bidi w:val="0"/>
        <w:adjustRightInd w:val="0"/>
        <w:snapToGrid/>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黑体" w:hAnsi="黑体" w:eastAsia="黑体" w:cs="黑体"/>
          <w:b w:val="0"/>
          <w:bCs w:val="0"/>
          <w:color w:val="auto"/>
          <w:sz w:val="32"/>
          <w:szCs w:val="32"/>
          <w:lang w:val="en-US" w:eastAsia="zh-CN"/>
        </w:rPr>
        <w:t>二、生产的产品或提供的服务栏：</w:t>
      </w:r>
      <w:r>
        <w:rPr>
          <w:rFonts w:hint="default" w:ascii="Times New Roman" w:hAnsi="Times New Roman" w:eastAsia="仿宋_GB2312" w:cs="Times New Roman"/>
          <w:color w:val="auto"/>
          <w:sz w:val="32"/>
          <w:szCs w:val="32"/>
          <w:highlight w:val="none"/>
          <w:lang w:val="en-US" w:eastAsia="zh-CN"/>
        </w:rPr>
        <w:t>指企业生产的主要产品或提供的主要服务，按在营业收入的占比由大到小排列，最多不超过3项。</w:t>
      </w:r>
      <w:r>
        <w:rPr>
          <w:rFonts w:hint="default" w:ascii="Times New Roman" w:hAnsi="Times New Roman" w:eastAsia="仿宋_GB2312" w:cs="Times New Roman"/>
          <w:b/>
          <w:bCs/>
          <w:color w:val="auto"/>
          <w:sz w:val="32"/>
          <w:szCs w:val="32"/>
          <w:highlight w:val="none"/>
          <w:lang w:val="en-US" w:eastAsia="zh-CN"/>
        </w:rPr>
        <w:t>(必须填写)</w:t>
      </w:r>
    </w:p>
    <w:p>
      <w:pPr>
        <w:keepNext w:val="0"/>
        <w:keepLines w:val="0"/>
        <w:pageBreakBefore w:val="0"/>
        <w:wordWrap/>
        <w:overflowPunct/>
        <w:topLinePunct w:val="0"/>
        <w:bidi w:val="0"/>
        <w:adjustRightInd w:val="0"/>
        <w:snapToGrid/>
        <w:spacing w:line="560" w:lineRule="exact"/>
        <w:ind w:firstLine="640" w:firstLineChars="200"/>
        <w:rPr>
          <w:rFonts w:hint="default" w:ascii="Times New Roman" w:hAnsi="Times New Roman" w:eastAsia="仿宋_GB2312" w:cs="Times New Roman"/>
          <w:color w:val="auto"/>
          <w:sz w:val="32"/>
          <w:szCs w:val="32"/>
          <w:highlight w:val="yellow"/>
          <w:lang w:val="en-US" w:eastAsia="zh-CN"/>
        </w:rPr>
      </w:pPr>
      <w:r>
        <w:rPr>
          <w:rFonts w:hint="eastAsia" w:ascii="黑体" w:hAnsi="黑体" w:eastAsia="黑体" w:cs="黑体"/>
          <w:b w:val="0"/>
          <w:bCs w:val="0"/>
          <w:color w:val="auto"/>
          <w:sz w:val="32"/>
          <w:szCs w:val="32"/>
          <w:lang w:val="en-US" w:eastAsia="zh-CN"/>
        </w:rPr>
        <w:t>三、指标栏：</w:t>
      </w:r>
      <w:r>
        <w:rPr>
          <w:rFonts w:hint="eastAsia" w:ascii="Times New Roman" w:hAnsi="Times New Roman" w:eastAsia="仿宋_GB2312" w:cs="Times New Roman"/>
          <w:color w:val="auto"/>
          <w:sz w:val="32"/>
          <w:szCs w:val="32"/>
          <w:highlight w:val="none"/>
          <w:lang w:val="en-US" w:eastAsia="zh-CN"/>
        </w:rPr>
        <w:t>综合百强</w:t>
      </w:r>
      <w:r>
        <w:rPr>
          <w:rFonts w:hint="default" w:ascii="Times New Roman" w:hAnsi="Times New Roman" w:eastAsia="仿宋_GB2312" w:cs="Times New Roman"/>
          <w:color w:val="auto"/>
          <w:sz w:val="32"/>
          <w:szCs w:val="32"/>
          <w:lang w:val="en-US" w:eastAsia="zh-CN"/>
        </w:rPr>
        <w:t>所有指标均按企业合并财务报表的数据填报，</w:t>
      </w:r>
      <w:r>
        <w:rPr>
          <w:rFonts w:hint="eastAsia" w:ascii="Times New Roman" w:hAnsi="Times New Roman" w:eastAsia="仿宋_GB2312" w:cs="Times New Roman"/>
          <w:color w:val="auto"/>
          <w:sz w:val="32"/>
          <w:szCs w:val="32"/>
          <w:lang w:val="en-US" w:eastAsia="zh-CN"/>
        </w:rPr>
        <w:t>制造业百强、数字经济百强</w:t>
      </w:r>
      <w:r>
        <w:rPr>
          <w:rFonts w:hint="default" w:ascii="Times New Roman" w:hAnsi="Times New Roman" w:eastAsia="仿宋_GB2312" w:cs="Times New Roman"/>
          <w:color w:val="auto"/>
          <w:sz w:val="32"/>
          <w:szCs w:val="32"/>
          <w:lang w:val="en-US" w:eastAsia="zh-CN"/>
        </w:rPr>
        <w:t>指标均按</w:t>
      </w:r>
      <w:r>
        <w:rPr>
          <w:rFonts w:hint="eastAsia" w:ascii="Times New Roman" w:hAnsi="Times New Roman" w:eastAsia="仿宋_GB2312" w:cs="Times New Roman"/>
          <w:color w:val="auto"/>
          <w:sz w:val="32"/>
          <w:szCs w:val="32"/>
          <w:lang w:val="en-US" w:eastAsia="zh-CN"/>
        </w:rPr>
        <w:t>单一企业</w:t>
      </w:r>
      <w:r>
        <w:rPr>
          <w:rFonts w:hint="default" w:ascii="Times New Roman" w:hAnsi="Times New Roman" w:eastAsia="仿宋_GB2312" w:cs="Times New Roman"/>
          <w:color w:val="auto"/>
          <w:sz w:val="32"/>
          <w:szCs w:val="32"/>
          <w:lang w:val="en-US" w:eastAsia="zh-CN"/>
        </w:rPr>
        <w:t>财务报表的数据填报</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金额单位：万元人民币</w:t>
      </w:r>
      <w:r>
        <w:rPr>
          <w:rFonts w:hint="eastAsia" w:ascii="Times New Roman" w:hAnsi="Times New Roman" w:eastAsia="仿宋_GB2312" w:cs="Times New Roman"/>
          <w:color w:val="auto"/>
          <w:sz w:val="32"/>
          <w:szCs w:val="32"/>
          <w:lang w:val="en-US" w:eastAsia="zh-CN"/>
        </w:rPr>
        <w:t>，保留两位小数</w:t>
      </w:r>
      <w:r>
        <w:rPr>
          <w:rFonts w:hint="default" w:ascii="Times New Roman" w:hAnsi="Times New Roman" w:eastAsia="仿宋_GB2312" w:cs="Times New Roman"/>
          <w:color w:val="auto"/>
          <w:sz w:val="32"/>
          <w:szCs w:val="32"/>
          <w:lang w:val="en-US" w:eastAsia="zh-CN"/>
        </w:rPr>
        <w:t>。</w:t>
      </w:r>
    </w:p>
    <w:p>
      <w:pPr>
        <w:keepNext w:val="0"/>
        <w:keepLines w:val="0"/>
        <w:pageBreakBefore w:val="0"/>
        <w:wordWrap/>
        <w:overflowPunct/>
        <w:topLinePunct w:val="0"/>
        <w:bidi w:val="0"/>
        <w:adjustRightInd w:val="0"/>
        <w:snapToGrid/>
        <w:spacing w:line="560" w:lineRule="exact"/>
        <w:ind w:firstLine="643"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营业收入：</w:t>
      </w:r>
      <w:r>
        <w:rPr>
          <w:rFonts w:hint="default" w:ascii="Times New Roman" w:hAnsi="Times New Roman" w:eastAsia="仿宋_GB2312" w:cs="Times New Roman"/>
          <w:color w:val="auto"/>
          <w:sz w:val="32"/>
          <w:szCs w:val="32"/>
          <w:lang w:val="en-US" w:eastAsia="zh-CN"/>
        </w:rPr>
        <w:t>包括企业的所有收入，不含增值税，即主营业务和非主营业务、境内和境外的收入。不含非连续性经营活动及石油、酒类的代征消费税收入。商业银行的营业收入为利息收入与非利息营业收入之和(不扣减对应的支出)。保险公司的营业收入是保险费和年金收入扣除储蓄的资本收益或损失。</w:t>
      </w:r>
    </w:p>
    <w:p>
      <w:pPr>
        <w:keepNext w:val="0"/>
        <w:keepLines w:val="0"/>
        <w:pageBreakBefore w:val="0"/>
        <w:wordWrap/>
        <w:overflowPunct/>
        <w:topLinePunct w:val="0"/>
        <w:bidi w:val="0"/>
        <w:adjustRightInd w:val="0"/>
        <w:snapToGrid/>
        <w:spacing w:line="560" w:lineRule="exact"/>
        <w:ind w:firstLine="643"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利润总额：</w:t>
      </w:r>
      <w:r>
        <w:rPr>
          <w:rFonts w:hint="default" w:ascii="Times New Roman" w:hAnsi="Times New Roman" w:eastAsia="仿宋_GB2312" w:cs="Times New Roman"/>
          <w:color w:val="auto"/>
          <w:sz w:val="32"/>
          <w:szCs w:val="32"/>
          <w:lang w:val="en-US" w:eastAsia="zh-CN"/>
        </w:rPr>
        <w:t>所得税税前利润。</w:t>
      </w:r>
    </w:p>
    <w:p>
      <w:pPr>
        <w:keepNext w:val="0"/>
        <w:keepLines w:val="0"/>
        <w:pageBreakBefore w:val="0"/>
        <w:wordWrap/>
        <w:overflowPunct/>
        <w:topLinePunct w:val="0"/>
        <w:bidi w:val="0"/>
        <w:adjustRightInd w:val="0"/>
        <w:snapToGrid/>
        <w:spacing w:line="560" w:lineRule="exact"/>
        <w:ind w:firstLine="643"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净利润：</w:t>
      </w:r>
      <w:r>
        <w:rPr>
          <w:rFonts w:hint="default" w:ascii="Times New Roman" w:hAnsi="Times New Roman" w:eastAsia="仿宋_GB2312" w:cs="Times New Roman"/>
          <w:color w:val="auto"/>
          <w:sz w:val="32"/>
          <w:szCs w:val="32"/>
          <w:lang w:val="en-US" w:eastAsia="zh-CN"/>
        </w:rPr>
        <w:t>利润总额扣除所得税。</w:t>
      </w:r>
    </w:p>
    <w:p>
      <w:pPr>
        <w:keepNext w:val="0"/>
        <w:keepLines w:val="0"/>
        <w:pageBreakBefore w:val="0"/>
        <w:wordWrap/>
        <w:overflowPunct/>
        <w:topLinePunct w:val="0"/>
        <w:bidi w:val="0"/>
        <w:adjustRightInd w:val="0"/>
        <w:snapToGrid/>
        <w:spacing w:line="560" w:lineRule="exact"/>
        <w:ind w:firstLine="643"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归属母公司所有者净利润：</w:t>
      </w:r>
      <w:r>
        <w:rPr>
          <w:rFonts w:hint="default" w:ascii="Times New Roman" w:hAnsi="Times New Roman" w:eastAsia="仿宋_GB2312" w:cs="Times New Roman"/>
          <w:color w:val="auto"/>
          <w:sz w:val="32"/>
          <w:szCs w:val="32"/>
          <w:lang w:val="en-US" w:eastAsia="zh-CN"/>
        </w:rPr>
        <w:t>净利润扣除少数股东损益。</w:t>
      </w:r>
    </w:p>
    <w:p>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资产总额：</w:t>
      </w:r>
      <w:r>
        <w:rPr>
          <w:rFonts w:hint="default" w:ascii="Times New Roman" w:hAnsi="Times New Roman" w:eastAsia="仿宋_GB2312" w:cs="Times New Roman"/>
          <w:color w:val="auto"/>
          <w:sz w:val="32"/>
          <w:szCs w:val="32"/>
          <w:lang w:val="en-US" w:eastAsia="zh-CN"/>
        </w:rPr>
        <w:t>年末的资产总额。</w:t>
      </w:r>
    </w:p>
    <w:p>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所有者权益：</w:t>
      </w:r>
      <w:r>
        <w:rPr>
          <w:rFonts w:hint="default" w:ascii="Times New Roman" w:hAnsi="Times New Roman" w:eastAsia="仿宋_GB2312" w:cs="Times New Roman"/>
          <w:color w:val="auto"/>
          <w:sz w:val="32"/>
          <w:szCs w:val="32"/>
          <w:lang w:val="en-US" w:eastAsia="zh-CN"/>
        </w:rPr>
        <w:t>年末的所有者权益总额。</w:t>
      </w:r>
    </w:p>
    <w:p>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归属母公司所有者权益：</w:t>
      </w:r>
      <w:r>
        <w:rPr>
          <w:rFonts w:hint="default" w:ascii="Times New Roman" w:hAnsi="Times New Roman" w:eastAsia="仿宋_GB2312" w:cs="Times New Roman"/>
          <w:color w:val="auto"/>
          <w:sz w:val="32"/>
          <w:szCs w:val="32"/>
          <w:lang w:val="en-US" w:eastAsia="zh-CN"/>
        </w:rPr>
        <w:t>所有者权益扣除少数股东权益。</w:t>
      </w:r>
    </w:p>
    <w:p>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纳税总额：</w:t>
      </w:r>
      <w:r>
        <w:rPr>
          <w:rFonts w:hint="default" w:ascii="Times New Roman" w:hAnsi="Times New Roman" w:eastAsia="仿宋_GB2312" w:cs="Times New Roman"/>
          <w:color w:val="auto"/>
          <w:sz w:val="32"/>
          <w:szCs w:val="32"/>
          <w:lang w:val="en-US" w:eastAsia="zh-CN"/>
        </w:rPr>
        <w:t>在中国大陆境内实际缴纳的税收总额，包括增值税、消费税、营业税、企业所得税以及其他各税种税收，不包括本企业（集团）代扣代缴其他企业或个人的各种税收，也不包括教育费附加、文化事业建设费等各项非税收费用。</w:t>
      </w:r>
    </w:p>
    <w:p>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研发费用：</w:t>
      </w:r>
      <w:r>
        <w:rPr>
          <w:rFonts w:hint="default" w:ascii="Times New Roman" w:hAnsi="Times New Roman" w:eastAsia="仿宋_GB2312" w:cs="Times New Roman"/>
          <w:color w:val="auto"/>
          <w:sz w:val="32"/>
          <w:szCs w:val="32"/>
          <w:lang w:val="en-US" w:eastAsia="zh-CN"/>
        </w:rPr>
        <w:t>指企业研究开发新产品、新技术、新工艺所发生的各项费用，包括新产品设计费、工艺规程制定费、设备调整费、原材料和半成品的实验费、技术图书资料费、研究机构人员的工资、研究设备的折旧、新产品的试制、技术研究有关的其他经费以及委托其他单位进行科研试制的费用。</w:t>
      </w:r>
    </w:p>
    <w:p>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员工总数：</w:t>
      </w:r>
      <w:r>
        <w:rPr>
          <w:rFonts w:hint="default" w:ascii="Times New Roman" w:hAnsi="Times New Roman" w:eastAsia="仿宋_GB2312" w:cs="Times New Roman"/>
          <w:color w:val="auto"/>
          <w:sz w:val="32"/>
          <w:szCs w:val="32"/>
          <w:lang w:val="en-US" w:eastAsia="zh-CN"/>
        </w:rPr>
        <w:t>年度平均从业人数（</w:t>
      </w:r>
      <w:r>
        <w:rPr>
          <w:rFonts w:hint="eastAsia" w:ascii="Times New Roman" w:hAnsi="Times New Roman" w:eastAsia="仿宋_GB2312" w:cs="Times New Roman"/>
          <w:color w:val="auto"/>
          <w:sz w:val="32"/>
          <w:szCs w:val="32"/>
          <w:lang w:val="en-US" w:eastAsia="zh-CN"/>
        </w:rPr>
        <w:t>综合百强则</w:t>
      </w:r>
      <w:r>
        <w:rPr>
          <w:rFonts w:hint="default" w:ascii="Times New Roman" w:hAnsi="Times New Roman" w:eastAsia="仿宋_GB2312" w:cs="Times New Roman"/>
          <w:color w:val="auto"/>
          <w:sz w:val="32"/>
          <w:szCs w:val="32"/>
          <w:lang w:val="en-US" w:eastAsia="zh-CN"/>
        </w:rPr>
        <w:t>含所有被合并报表企业的人数）。</w:t>
      </w:r>
    </w:p>
    <w:p>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海外收入、海外资产、海外员工</w:t>
      </w:r>
      <w:r>
        <w:rPr>
          <w:rFonts w:hint="default" w:ascii="Times New Roman" w:hAnsi="Times New Roman" w:eastAsia="仿宋_GB2312" w:cs="Times New Roman"/>
          <w:color w:val="auto"/>
          <w:sz w:val="32"/>
          <w:szCs w:val="32"/>
          <w:lang w:val="en-US" w:eastAsia="zh-CN"/>
        </w:rPr>
        <w:t>是指企业在中国大陆以外的营业收入、资产、员工。海外收入以平均汇率折算</w:t>
      </w:r>
      <w:r>
        <w:rPr>
          <w:rFonts w:hint="eastAsia" w:ascii="Times New Roman" w:hAnsi="Times New Roman" w:eastAsia="仿宋_GB2312" w:cs="Times New Roman"/>
          <w:color w:val="auto"/>
          <w:sz w:val="32"/>
          <w:szCs w:val="32"/>
          <w:lang w:val="en-US" w:eastAsia="zh-CN"/>
        </w:rPr>
        <w:t>，海外资产以年底汇率折算</w:t>
      </w:r>
      <w:r>
        <w:rPr>
          <w:rFonts w:hint="default" w:ascii="Times New Roman" w:hAnsi="Times New Roman" w:eastAsia="仿宋_GB2312" w:cs="Times New Roman"/>
          <w:color w:val="auto"/>
          <w:sz w:val="32"/>
          <w:szCs w:val="32"/>
          <w:lang w:val="en-US" w:eastAsia="zh-CN"/>
        </w:rPr>
        <w:t>。</w:t>
      </w:r>
    </w:p>
    <w:p>
      <w:pPr>
        <w:keepNext w:val="0"/>
        <w:keepLines w:val="0"/>
        <w:pageBreakBefore w:val="0"/>
        <w:numPr>
          <w:ilvl w:val="0"/>
          <w:numId w:val="2"/>
        </w:numPr>
        <w:wordWrap/>
        <w:overflowPunct/>
        <w:topLinePunct w:val="0"/>
        <w:bidi w:val="0"/>
        <w:adjustRightInd w:val="0"/>
        <w:snapToGrid/>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eastAsia" w:ascii="黑体" w:hAnsi="黑体" w:eastAsia="黑体" w:cs="黑体"/>
          <w:b w:val="0"/>
          <w:bCs w:val="0"/>
          <w:color w:val="auto"/>
          <w:sz w:val="32"/>
          <w:szCs w:val="32"/>
          <w:lang w:val="en-US" w:eastAsia="zh-CN"/>
        </w:rPr>
        <w:t>企业信息栏：</w:t>
      </w:r>
      <w:r>
        <w:rPr>
          <w:rFonts w:hint="default" w:ascii="Times New Roman" w:hAnsi="Times New Roman" w:eastAsia="仿宋_GB2312" w:cs="Times New Roman"/>
          <w:color w:val="auto"/>
          <w:sz w:val="32"/>
          <w:szCs w:val="32"/>
          <w:lang w:val="en-US" w:eastAsia="zh-CN"/>
        </w:rPr>
        <w:t>请按照要求填写或打√。</w:t>
      </w:r>
    </w:p>
    <w:p>
      <w:pPr>
        <w:pStyle w:val="2"/>
        <w:keepNext w:val="0"/>
        <w:keepLines w:val="0"/>
        <w:pageBreakBefore w:val="0"/>
        <w:numPr>
          <w:ilvl w:val="0"/>
          <w:numId w:val="0"/>
        </w:numPr>
        <w:wordWrap/>
        <w:overflowPunct/>
        <w:topLinePunct w:val="0"/>
        <w:bidi w:val="0"/>
        <w:spacing w:line="560" w:lineRule="exact"/>
        <w:ind w:right="45" w:rightChars="0"/>
        <w:rPr>
          <w:rFonts w:hint="eastAsia" w:ascii="仿宋_GB2312" w:hAnsi="仿宋_GB2312" w:eastAsia="仿宋_GB2312" w:cs="仿宋_GB2312"/>
          <w:b/>
          <w:bCs/>
          <w:sz w:val="32"/>
          <w:szCs w:val="32"/>
          <w:highlight w:val="red"/>
          <w:lang w:val="en-US" w:eastAsia="zh-CN"/>
        </w:rPr>
      </w:pPr>
      <w:r>
        <w:rPr>
          <w:rFonts w:hint="eastAsia" w:hAnsi="仿宋_GB2312" w:cs="仿宋_GB2312"/>
          <w:b/>
          <w:bCs/>
          <w:sz w:val="32"/>
          <w:szCs w:val="32"/>
          <w:highlight w:val="none"/>
          <w:lang w:val="en-US" w:eastAsia="zh-CN"/>
        </w:rPr>
        <w:t>综合</w:t>
      </w:r>
      <w:r>
        <w:rPr>
          <w:rFonts w:hint="eastAsia" w:ascii="仿宋_GB2312" w:hAnsi="仿宋_GB2312" w:eastAsia="仿宋_GB2312" w:cs="仿宋_GB2312"/>
          <w:b/>
          <w:bCs/>
          <w:sz w:val="32"/>
          <w:szCs w:val="32"/>
          <w:highlight w:val="none"/>
          <w:lang w:val="en-US" w:eastAsia="zh-CN"/>
        </w:rPr>
        <w:t>企业的行业分类代码</w:t>
      </w:r>
      <w:r>
        <w:rPr>
          <w:rStyle w:val="7"/>
          <w:rFonts w:hint="eastAsia" w:ascii="仿宋_GB2312" w:hAnsi="仿宋_GB2312" w:eastAsia="仿宋_GB2312" w:cs="仿宋_GB2312"/>
          <w:b/>
          <w:bCs/>
          <w:sz w:val="32"/>
          <w:szCs w:val="32"/>
          <w:highlight w:val="none"/>
          <w:lang w:val="en-US" w:eastAsia="zh-CN"/>
        </w:rPr>
        <w:footnoteReference w:id="0"/>
      </w:r>
      <w:r>
        <w:rPr>
          <w:rFonts w:hint="eastAsia" w:ascii="仿宋_GB2312" w:hAnsi="仿宋_GB2312" w:eastAsia="仿宋_GB2312" w:cs="仿宋_GB2312"/>
          <w:b/>
          <w:bCs/>
          <w:sz w:val="32"/>
          <w:szCs w:val="32"/>
          <w:highlight w:val="none"/>
          <w:lang w:val="en-US" w:eastAsia="zh-CN"/>
        </w:rPr>
        <w:t>如下</w:t>
      </w:r>
      <w:r>
        <w:rPr>
          <w:rFonts w:hint="eastAsia" w:ascii="仿宋_GB2312" w:hAnsi="仿宋_GB2312" w:eastAsia="仿宋_GB2312" w:cs="仿宋_GB2312"/>
          <w:b/>
          <w:bCs/>
          <w:sz w:val="32"/>
          <w:szCs w:val="32"/>
          <w:lang w:val="en-US" w:eastAsia="zh-CN"/>
        </w:rPr>
        <w:t>：</w:t>
      </w:r>
    </w:p>
    <w:tbl>
      <w:tblPr>
        <w:tblStyle w:val="5"/>
        <w:tblW w:w="82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91"/>
        <w:gridCol w:w="3000"/>
        <w:gridCol w:w="1180"/>
        <w:gridCol w:w="2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blHeader/>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Times New Roman" w:hAnsi="Times New Roman" w:eastAsia="仿宋_GB2312" w:cs="仿宋"/>
                <w:b w:val="0"/>
                <w:bCs w:val="0"/>
                <w:i w:val="0"/>
                <w:iCs w:val="0"/>
                <w:color w:val="000000"/>
                <w:sz w:val="24"/>
                <w:szCs w:val="24"/>
                <w:u w:val="none"/>
              </w:rPr>
            </w:pPr>
            <w:r>
              <w:rPr>
                <w:rFonts w:hint="eastAsia" w:ascii="Times New Roman" w:hAnsi="Times New Roman" w:eastAsia="仿宋_GB2312" w:cs="仿宋"/>
                <w:b w:val="0"/>
                <w:bCs w:val="0"/>
                <w:i w:val="0"/>
                <w:iCs w:val="0"/>
                <w:color w:val="000000"/>
                <w:kern w:val="0"/>
                <w:sz w:val="24"/>
                <w:szCs w:val="24"/>
                <w:u w:val="none"/>
                <w:lang w:val="en-US" w:eastAsia="zh-CN" w:bidi="ar"/>
              </w:rPr>
              <w:t>A</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Times New Roman" w:hAnsi="Times New Roman" w:eastAsia="仿宋_GB2312" w:cs="仿宋"/>
                <w:b w:val="0"/>
                <w:bCs w:val="0"/>
                <w:i w:val="0"/>
                <w:iCs w:val="0"/>
                <w:color w:val="000000"/>
                <w:sz w:val="24"/>
                <w:szCs w:val="24"/>
                <w:u w:val="none"/>
              </w:rPr>
            </w:pPr>
            <w:r>
              <w:rPr>
                <w:rStyle w:val="9"/>
                <w:rFonts w:hint="eastAsia" w:ascii="Times New Roman" w:hAnsi="Times New Roman" w:eastAsia="仿宋_GB2312"/>
                <w:b w:val="0"/>
                <w:bCs w:val="0"/>
                <w:sz w:val="24"/>
                <w:szCs w:val="24"/>
                <w:lang w:val="en-US" w:eastAsia="zh-CN" w:bidi="ar"/>
              </w:rPr>
              <w:t>农、林、牧、渔业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Times New Roman" w:hAnsi="Times New Roman" w:eastAsia="仿宋_GB2312" w:cs="仿宋"/>
                <w:b w:val="0"/>
                <w:bCs w:val="0"/>
                <w:i w:val="0"/>
                <w:iCs w:val="0"/>
                <w:color w:val="000000"/>
                <w:sz w:val="24"/>
                <w:szCs w:val="24"/>
                <w:u w:val="none"/>
              </w:rPr>
            </w:pPr>
            <w:r>
              <w:rPr>
                <w:rFonts w:hint="eastAsia" w:ascii="Times New Roman" w:hAnsi="Times New Roman" w:eastAsia="仿宋_GB2312" w:cs="仿宋"/>
                <w:b w:val="0"/>
                <w:bCs w:val="0"/>
                <w:i w:val="0"/>
                <w:iCs w:val="0"/>
                <w:color w:val="000000"/>
                <w:kern w:val="0"/>
                <w:sz w:val="24"/>
                <w:szCs w:val="24"/>
                <w:u w:val="none"/>
                <w:lang w:val="en-US" w:eastAsia="zh-CN" w:bidi="ar"/>
              </w:rPr>
              <w:t>B</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Times New Roman" w:hAnsi="Times New Roman" w:eastAsia="仿宋_GB2312" w:cs="仿宋"/>
                <w:b w:val="0"/>
                <w:bCs w:val="0"/>
                <w:i w:val="0"/>
                <w:iCs w:val="0"/>
                <w:color w:val="000000"/>
                <w:sz w:val="24"/>
                <w:szCs w:val="24"/>
                <w:u w:val="none"/>
              </w:rPr>
            </w:pPr>
            <w:r>
              <w:rPr>
                <w:rStyle w:val="9"/>
                <w:rFonts w:ascii="Times New Roman" w:hAnsi="Times New Roman" w:eastAsia="仿宋_GB2312"/>
                <w:b w:val="0"/>
                <w:bCs w:val="0"/>
                <w:sz w:val="24"/>
                <w:szCs w:val="24"/>
                <w:lang w:val="en-US" w:eastAsia="zh-CN" w:bidi="ar"/>
              </w:rPr>
              <w:t>智能车载设备制造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C</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Style w:val="9"/>
                <w:rFonts w:hint="default" w:ascii="Times New Roman" w:hAnsi="Times New Roman" w:eastAsia="仿宋_GB2312"/>
                <w:b w:val="0"/>
                <w:bCs w:val="0"/>
                <w:sz w:val="24"/>
                <w:szCs w:val="24"/>
                <w:lang w:val="en-US" w:eastAsia="zh-CN" w:bidi="ar"/>
              </w:rPr>
            </w:pPr>
            <w:r>
              <w:rPr>
                <w:rStyle w:val="9"/>
                <w:rFonts w:hint="eastAsia" w:ascii="Times New Roman" w:hAnsi="Times New Roman" w:eastAsia="仿宋_GB2312"/>
                <w:b w:val="0"/>
                <w:bCs w:val="0"/>
                <w:sz w:val="24"/>
                <w:szCs w:val="24"/>
                <w:lang w:val="en-US" w:eastAsia="zh-CN" w:bidi="ar"/>
              </w:rPr>
              <w:t>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D</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Style w:val="9"/>
                <w:rFonts w:ascii="Times New Roman" w:hAnsi="Times New Roman" w:eastAsia="仿宋_GB2312"/>
                <w:b w:val="0"/>
                <w:bCs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电力、热力、燃气及水生产和供应业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E</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Style w:val="9"/>
                <w:rFonts w:hint="eastAsia" w:ascii="Times New Roman" w:hAnsi="Times New Roman" w:eastAsia="仿宋_GB2312"/>
                <w:b w:val="0"/>
                <w:bCs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 xml:space="preserve">建筑业 </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F</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Style w:val="9"/>
                <w:rFonts w:ascii="Times New Roman" w:hAnsi="Times New Roman" w:eastAsia="仿宋_GB2312"/>
                <w:b w:val="0"/>
                <w:bCs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批发和零售业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G</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 xml:space="preserve">交通运输、仓储和邮政业 </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H</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住宿和餐饮业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I</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信息传输、软件和信息技术服务业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J</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金融业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K</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房地产业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L</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租赁和商务服务业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M</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科学研究和技术服务业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N</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水利、环境和公共设施管理业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O</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居民服务、修理和其他服务业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P</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Q</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default"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卫生和社会工作</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R</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文化、体育和娱乐业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S</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公共管理、社会保障和社会组织</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国际组织</w:t>
            </w:r>
          </w:p>
        </w:tc>
      </w:tr>
    </w:tbl>
    <w:p>
      <w:pPr>
        <w:rPr>
          <w:rFonts w:hint="eastAsia"/>
          <w:lang w:val="en-US" w:eastAsia="zh-CN"/>
        </w:rPr>
      </w:pPr>
    </w:p>
    <w:p>
      <w:pPr>
        <w:pStyle w:val="2"/>
        <w:keepNext w:val="0"/>
        <w:keepLines w:val="0"/>
        <w:pageBreakBefore w:val="0"/>
        <w:numPr>
          <w:ilvl w:val="0"/>
          <w:numId w:val="0"/>
        </w:numPr>
        <w:wordWrap/>
        <w:overflowPunct/>
        <w:topLinePunct w:val="0"/>
        <w:bidi w:val="0"/>
        <w:spacing w:line="560" w:lineRule="exact"/>
        <w:ind w:right="45" w:right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highlight w:val="none"/>
          <w:lang w:val="en-US" w:eastAsia="zh-CN"/>
        </w:rPr>
        <w:t>制造业企业的行业分类代码</w:t>
      </w:r>
      <w:r>
        <w:rPr>
          <w:rStyle w:val="7"/>
          <w:rFonts w:hint="eastAsia" w:ascii="仿宋_GB2312" w:hAnsi="仿宋_GB2312" w:eastAsia="仿宋_GB2312" w:cs="仿宋_GB2312"/>
          <w:b/>
          <w:bCs/>
          <w:sz w:val="32"/>
          <w:szCs w:val="32"/>
          <w:highlight w:val="none"/>
          <w:lang w:val="en-US" w:eastAsia="zh-CN"/>
        </w:rPr>
        <w:footnoteReference w:id="1"/>
      </w:r>
      <w:r>
        <w:rPr>
          <w:rFonts w:hint="eastAsia" w:ascii="仿宋_GB2312" w:hAnsi="仿宋_GB2312" w:eastAsia="仿宋_GB2312" w:cs="仿宋_GB2312"/>
          <w:b/>
          <w:bCs/>
          <w:sz w:val="32"/>
          <w:szCs w:val="32"/>
          <w:highlight w:val="none"/>
          <w:lang w:val="en-US" w:eastAsia="zh-CN"/>
        </w:rPr>
        <w:t>如下</w:t>
      </w:r>
      <w:r>
        <w:rPr>
          <w:rFonts w:hint="eastAsia" w:ascii="仿宋_GB2312" w:hAnsi="仿宋_GB2312" w:eastAsia="仿宋_GB2312" w:cs="仿宋_GB2312"/>
          <w:b/>
          <w:bCs/>
          <w:sz w:val="32"/>
          <w:szCs w:val="32"/>
          <w:lang w:val="en-US" w:eastAsia="zh-CN"/>
        </w:rPr>
        <w:t>：</w:t>
      </w:r>
    </w:p>
    <w:tbl>
      <w:tblPr>
        <w:tblStyle w:val="5"/>
        <w:tblW w:w="82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20"/>
        <w:gridCol w:w="3000"/>
        <w:gridCol w:w="1180"/>
        <w:gridCol w:w="2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blHeader/>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农副食品加工业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食品制造业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15</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酒、饮料和精制茶制造业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16</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烟草制品业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17</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纺织业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18</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纺织服装、服饰业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皮革、毛皮、羽毛及其制品和制鞋业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sz w:val="24"/>
                <w:szCs w:val="24"/>
                <w:lang w:val="en-US" w:eastAsia="zh-CN"/>
              </w:rPr>
            </w:pPr>
            <w:r>
              <w:rPr>
                <w:rFonts w:hint="eastAsia" w:ascii="Times New Roman" w:hAnsi="Times New Roman" w:eastAsia="仿宋_GB2312" w:cs="仿宋"/>
                <w:i w:val="0"/>
                <w:iCs w:val="0"/>
                <w:color w:val="000000"/>
                <w:sz w:val="24"/>
                <w:szCs w:val="24"/>
                <w:u w:val="none"/>
                <w:lang w:val="en-US" w:eastAsia="zh-CN"/>
              </w:rPr>
              <w:t>20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木材加工和木、竹、藤、棕、草制品业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家具制造业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造纸和纸制品业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印刷和记录媒介复制业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文教、工美、体育和娱乐用品制造业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25</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石油、煤炭及其他燃料加工业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26</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化学原料和化学制品制造业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27</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医药制造业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28</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化学纤维制造业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橡胶和塑料制品业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非金属矿物制品业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黑色金属冶炼和压延加工业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 xml:space="preserve">有色金属冶炼和压延加工业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金属制品业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通用设备制造业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35</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专用设备制造业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36</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 xml:space="preserve">汽车制造业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37</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铁路、船舶、航空航天和其他运输设备制造业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38</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电气机械和器材制造业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计算机、通信和其他电子设备制造业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40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仪器仪表制造业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41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 xml:space="preserve">其他制造业 </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42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 xml:space="preserve">废弃资源综合利用业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43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金属制品、机械和设备修理业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Times New Roman" w:hAnsi="Times New Roman" w:eastAsia="仿宋_GB2312" w:cs="仿宋"/>
                <w:i w:val="0"/>
                <w:iCs w:val="0"/>
                <w:color w:val="000000"/>
                <w:sz w:val="24"/>
                <w:szCs w:val="24"/>
                <w:u w:val="none"/>
              </w:rPr>
            </w:pPr>
          </w:p>
        </w:tc>
      </w:tr>
    </w:tbl>
    <w:p>
      <w:pPr>
        <w:pStyle w:val="2"/>
        <w:keepNext w:val="0"/>
        <w:keepLines w:val="0"/>
        <w:pageBreakBefore w:val="0"/>
        <w:numPr>
          <w:ilvl w:val="0"/>
          <w:numId w:val="0"/>
        </w:numPr>
        <w:wordWrap/>
        <w:overflowPunct/>
        <w:topLinePunct w:val="0"/>
        <w:bidi w:val="0"/>
        <w:spacing w:line="560" w:lineRule="exact"/>
        <w:ind w:right="45" w:right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数字经济企业的行业分类代码</w:t>
      </w:r>
      <w:r>
        <w:rPr>
          <w:rStyle w:val="7"/>
          <w:rFonts w:hint="eastAsia" w:ascii="仿宋_GB2312" w:hAnsi="仿宋_GB2312" w:eastAsia="仿宋_GB2312" w:cs="仿宋_GB2312"/>
          <w:b/>
          <w:bCs/>
          <w:sz w:val="32"/>
          <w:szCs w:val="32"/>
          <w:lang w:val="en-US" w:eastAsia="zh-CN"/>
        </w:rPr>
        <w:footnoteReference w:id="2"/>
      </w:r>
      <w:r>
        <w:rPr>
          <w:rFonts w:hint="eastAsia" w:ascii="仿宋_GB2312" w:hAnsi="仿宋_GB2312" w:eastAsia="仿宋_GB2312" w:cs="仿宋_GB2312"/>
          <w:b/>
          <w:bCs/>
          <w:sz w:val="32"/>
          <w:szCs w:val="32"/>
          <w:lang w:val="en-US" w:eastAsia="zh-CN"/>
        </w:rPr>
        <w:t>如下：</w:t>
      </w:r>
    </w:p>
    <w:tbl>
      <w:tblPr>
        <w:tblStyle w:val="5"/>
        <w:tblW w:w="82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20"/>
        <w:gridCol w:w="3000"/>
        <w:gridCol w:w="1180"/>
        <w:gridCol w:w="2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1、计算机、通信和其他电子设备制造业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3911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计算机整机制造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3962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智能车载设备制造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3912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计算机零部件制造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3963</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智能无人飞行器制造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3913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计算机外围设备制造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3964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服务消费机器人制造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3914</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工业控制计算机及系统制造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3969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其他智能消费设备制造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3915</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信息安全设备制造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电子真空器件制造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3919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其他计算机制造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半导体分立器件制造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3921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通信系统设备制造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3973</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集成电路制造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3922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通信终端设备制造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显示器件制造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3931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广播电视节目制作及发射设备制造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3975</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半导体照明器件制造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3932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广播电视接收设备制造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3976</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光电子器件制造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3933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广播电视专用配件制造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其他电子器件制造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3934</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专业音响设备制造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3981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电阻电容电感元件制造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3939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应用电视设备及其他广播电视设备制造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3982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电子电路制造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3940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雷达及配套设备制造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3983</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敏感元件及传感器制造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3951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电视机制造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3984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电声器件及零件制造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3952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音响设备制造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3985</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电子专用材料制造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3953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影视录放设备制造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3989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其他电子元件制造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3961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可穿戴智能设备制造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3990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其他电子设备制造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2、电子信息机电制造业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2330</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记录媒介复制</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3833</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光缆制造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2664</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文化用信息化学品制造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3841</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锂离子电池制造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3813</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微特电机及组件制造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3842</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镍氢电池制造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3822</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电容器及其配套设备制造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3843</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铅蓄电池制造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3824</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电力电子元器件制造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3844</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锌锰电池制造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3825</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光伏设备及元器件制造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3849</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其他电池制造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3831</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电线、电缆制造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3871</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电光源制造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3832</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光纤制造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3874</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智能照明器具制造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3、专用电子设备制造业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3472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幻灯及投影设备制造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4012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电工仪器仪表制造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3475</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 xml:space="preserve">计算器及货币专用设备制造 </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环境监测专用仪器仪表制造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3491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工业机器人制造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运输设备及生产用计数仪表制造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3493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增材制造装备制造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4023</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导航、测绘、气象及海洋专用仪器制造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3562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半导体器件专用设备制造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农林牧渔专用仪器仪表制造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3563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电子元器件与机电组件设备制造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4025</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地质勘探和地震专用仪器制造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3569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其他电子专用设备制造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4026</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教学专用仪器制造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3581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医疗诊断、监护及治疗设备制造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4027</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核子及核辐射测量仪器制造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3891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电气信号设备装置制造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4028</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电子测量仪器制造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4011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工业自动控制系统装置制造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其他专用仪器制造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4、电信、广播电视和卫星传输服务业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6311</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固定电信服务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6322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无线广播电视传输服务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6312</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移动电信服务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6331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广播电视卫星传输服务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6319</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其他电信服务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6339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其他卫星传输服务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6321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有线广播电视传输服务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5.互联网及其相关服务业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6020</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快递服务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6490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其他互联网服务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6410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互联网接入及相关服务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6637</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网络借贷服务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6421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互联网搜索服务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6930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非金融机构支付服务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6422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互联网游戏服务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6940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金融信息服务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6429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互联网其他信息服务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7251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互联网广告服务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6431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互联网生产服务平台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7272</w:t>
            </w:r>
          </w:p>
        </w:tc>
        <w:tc>
          <w:tcPr>
            <w:tcW w:w="2850"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jc w:val="both"/>
              <w:textAlignment w:val="bottom"/>
              <w:rPr>
                <w:rFonts w:hint="eastAsia" w:ascii="仿宋" w:hAnsi="仿宋" w:eastAsia="仿宋" w:cs="仿宋"/>
                <w:i w:val="0"/>
                <w:iCs w:val="0"/>
                <w:color w:val="000000"/>
                <w:sz w:val="24"/>
                <w:szCs w:val="24"/>
                <w:u w:val="none"/>
              </w:rPr>
            </w:pPr>
            <w:r>
              <w:rPr>
                <w:rStyle w:val="9"/>
                <w:lang w:val="en-US" w:eastAsia="zh-CN" w:bidi="ar"/>
              </w:rPr>
              <w:t>安全系统监控服务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6432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互联网生活服务平台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7441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遥感测绘服务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6433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互联网科技创新平台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7449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其他测绘地理信息服务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6434</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互联网公共服务平台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7491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工业设计服务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6439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其他互联网平台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7517</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三维（3D)打印技术推广服务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6440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互联网安全服务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9012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电子游艺厅娱乐活动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6450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互联网数据服务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9013</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网吧活动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6、软件和信息技术服务业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6511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基础软件开发</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6550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信息处理和存储支持服务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6512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支撑软件开发</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6560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信息技术咨询服务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6513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应用软件开发</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6571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地理遥感信息服务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6519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其他软件开发</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6572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动漫、游戏数字内容服务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6520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集成电路设计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6579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其他数字内容服务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6531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信息系统集成服务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6591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呼叫中心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6532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物联网技术服务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6599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其他未列明信息技术服务业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6540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运行维护服务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7、文化数字内容及其服务业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8624</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音像制品出版</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8730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影视节目制作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8625</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电子出版物出版</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8740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广播电视集成播控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8626</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数字出版</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8750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电影和广播电视节目发行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8710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广播</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8760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电影放映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8720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电视</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8770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录音制作</w:t>
            </w:r>
          </w:p>
        </w:tc>
      </w:tr>
    </w:tbl>
    <w:p>
      <w:pPr>
        <w:keepNext w:val="0"/>
        <w:keepLines w:val="0"/>
        <w:pageBreakBefore w:val="0"/>
        <w:numPr>
          <w:ilvl w:val="0"/>
          <w:numId w:val="0"/>
        </w:numPr>
        <w:wordWrap/>
        <w:overflowPunct/>
        <w:topLinePunct w:val="0"/>
        <w:bidi w:val="0"/>
        <w:adjustRightInd w:val="0"/>
        <w:snapToGrid/>
        <w:spacing w:line="560" w:lineRule="exact"/>
        <w:ind w:firstLine="640" w:firstLineChars="200"/>
        <w:rPr>
          <w:rFonts w:hint="default"/>
          <w:lang w:val="en-US" w:eastAsia="zh-CN"/>
        </w:rPr>
      </w:pPr>
      <w:r>
        <w:rPr>
          <w:rFonts w:hint="eastAsia" w:ascii="黑体" w:hAnsi="黑体" w:eastAsia="黑体" w:cs="黑体"/>
          <w:b w:val="0"/>
          <w:bCs w:val="0"/>
          <w:color w:val="auto"/>
          <w:sz w:val="32"/>
          <w:szCs w:val="32"/>
          <w:lang w:val="en-US" w:eastAsia="zh-CN"/>
        </w:rPr>
        <w:t>五、填写要求：</w:t>
      </w:r>
      <w:r>
        <w:rPr>
          <w:rFonts w:hint="eastAsia" w:ascii="仿宋_GB2312" w:hAnsi="仿宋_GB2312" w:eastAsia="仿宋_GB2312" w:cs="仿宋_GB2312"/>
          <w:b w:val="0"/>
          <w:bCs w:val="0"/>
          <w:color w:val="auto"/>
          <w:sz w:val="32"/>
          <w:szCs w:val="32"/>
          <w:lang w:val="en-US" w:eastAsia="zh-CN"/>
        </w:rPr>
        <w:t>所有填报栏目一定要完整，资料要仔细核对，保证名称及数据的准确性，并请签字、盖章。</w:t>
      </w:r>
    </w:p>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4"/>
        <w:snapToGrid w:val="0"/>
        <w:rPr>
          <w:rFonts w:hint="default" w:ascii="Times New Roman" w:hAnsi="Times New Roman" w:eastAsia="宋体" w:cs="Times New Roman"/>
          <w:lang w:val="en-US" w:eastAsia="zh-CN"/>
        </w:rPr>
      </w:pPr>
      <w:r>
        <w:rPr>
          <w:rStyle w:val="7"/>
          <w:rFonts w:hint="default" w:ascii="Times New Roman" w:hAnsi="Times New Roman" w:cs="Times New Roman"/>
        </w:rPr>
        <w:footnoteRef/>
      </w:r>
      <w:r>
        <w:rPr>
          <w:rFonts w:hint="default" w:ascii="Times New Roman" w:hAnsi="Times New Roman" w:cs="Times New Roman"/>
        </w:rPr>
        <w:t xml:space="preserve"> </w:t>
      </w:r>
      <w:r>
        <w:rPr>
          <w:rFonts w:hint="default" w:ascii="Times New Roman" w:hAnsi="Times New Roman" w:cs="Times New Roman"/>
          <w:lang w:val="en-US" w:eastAsia="zh-CN"/>
        </w:rPr>
        <w:t>参照：《国民经济行业分类》（GB/T 4754—2017）</w:t>
      </w:r>
    </w:p>
  </w:footnote>
  <w:footnote w:id="1">
    <w:p>
      <w:pPr>
        <w:pStyle w:val="4"/>
        <w:snapToGrid w:val="0"/>
        <w:rPr>
          <w:rFonts w:hint="default" w:ascii="Times New Roman" w:hAnsi="Times New Roman" w:eastAsia="宋体" w:cs="Times New Roman"/>
          <w:lang w:val="en-US" w:eastAsia="zh-CN"/>
        </w:rPr>
      </w:pPr>
      <w:r>
        <w:rPr>
          <w:rStyle w:val="7"/>
          <w:rFonts w:hint="default" w:ascii="Times New Roman" w:hAnsi="Times New Roman" w:cs="Times New Roman"/>
        </w:rPr>
        <w:footnoteRef/>
      </w:r>
      <w:r>
        <w:rPr>
          <w:rFonts w:hint="default" w:ascii="Times New Roman" w:hAnsi="Times New Roman" w:cs="Times New Roman"/>
        </w:rPr>
        <w:t xml:space="preserve"> </w:t>
      </w:r>
      <w:r>
        <w:rPr>
          <w:rFonts w:hint="default" w:ascii="Times New Roman" w:hAnsi="Times New Roman" w:cs="Times New Roman"/>
          <w:lang w:val="en-US" w:eastAsia="zh-CN"/>
        </w:rPr>
        <w:t>参照：《国民经济行业分类》（GB/T 4754—2017）</w:t>
      </w:r>
    </w:p>
  </w:footnote>
  <w:footnote w:id="2">
    <w:p>
      <w:pPr>
        <w:pStyle w:val="4"/>
        <w:snapToGrid w:val="0"/>
        <w:rPr>
          <w:rFonts w:hint="default" w:ascii="Times New Roman" w:hAnsi="Times New Roman" w:eastAsia="宋体" w:cs="Times New Roman"/>
          <w:lang w:val="en-US" w:eastAsia="zh-CN"/>
        </w:rPr>
      </w:pPr>
      <w:r>
        <w:rPr>
          <w:rStyle w:val="7"/>
          <w:rFonts w:hint="default" w:ascii="Times New Roman" w:hAnsi="Times New Roman" w:cs="Times New Roman"/>
        </w:rPr>
        <w:footnoteRef/>
      </w:r>
      <w:r>
        <w:rPr>
          <w:rFonts w:hint="default" w:ascii="Times New Roman" w:hAnsi="Times New Roman" w:cs="Times New Roman"/>
        </w:rPr>
        <w:t xml:space="preserve"> </w:t>
      </w:r>
      <w:r>
        <w:rPr>
          <w:rFonts w:hint="default" w:ascii="Times New Roman" w:hAnsi="Times New Roman" w:cs="Times New Roman"/>
          <w:lang w:val="en-US" w:eastAsia="zh-CN"/>
        </w:rPr>
        <w:t>参照：《浙江省数字经济核心产业统计分类目录》（2018）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410A59"/>
    <w:multiLevelType w:val="singleLevel"/>
    <w:tmpl w:val="4D410A59"/>
    <w:lvl w:ilvl="0" w:tentative="0">
      <w:start w:val="4"/>
      <w:numFmt w:val="chineseCounting"/>
      <w:suff w:val="nothing"/>
      <w:lvlText w:val="%1、"/>
      <w:lvlJc w:val="left"/>
      <w:rPr>
        <w:rFonts w:hint="eastAsia" w:ascii="黑体" w:hAnsi="黑体" w:eastAsia="黑体" w:cs="黑体"/>
      </w:rPr>
    </w:lvl>
  </w:abstractNum>
  <w:abstractNum w:abstractNumId="1">
    <w:nsid w:val="7E1082C8"/>
    <w:multiLevelType w:val="singleLevel"/>
    <w:tmpl w:val="7E1082C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yMTQ2MmU2N2I5ZWU1NzQxODQ2MWFkNDg3OWExYTAifQ=="/>
  </w:docVars>
  <w:rsids>
    <w:rsidRoot w:val="00000000"/>
    <w:rsid w:val="0A176B8E"/>
    <w:rsid w:val="0B8617A2"/>
    <w:rsid w:val="237B0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560" w:lineRule="exact"/>
      <w:ind w:right="45"/>
    </w:pPr>
    <w:rPr>
      <w:rFonts w:ascii="仿宋_GB2312" w:eastAsia="仿宋_GB2312"/>
      <w:sz w:val="32"/>
    </w:rPr>
  </w:style>
  <w:style w:type="paragraph" w:styleId="3">
    <w:name w:val="Body Text First Indent"/>
    <w:basedOn w:val="2"/>
    <w:next w:val="1"/>
    <w:qFormat/>
    <w:uiPriority w:val="0"/>
    <w:pPr>
      <w:ind w:firstLine="100" w:firstLineChars="100"/>
    </w:pPr>
    <w:rPr>
      <w:rFonts w:ascii="Times New Roman" w:hAnsi="Times New Roman" w:cs="Times New Roman"/>
      <w:lang w:bidi="ar-SA"/>
    </w:rPr>
  </w:style>
  <w:style w:type="paragraph" w:styleId="4">
    <w:name w:val="footnote text"/>
    <w:basedOn w:val="1"/>
    <w:qFormat/>
    <w:uiPriority w:val="0"/>
    <w:pPr>
      <w:snapToGrid w:val="0"/>
      <w:jc w:val="left"/>
    </w:pPr>
    <w:rPr>
      <w:sz w:val="18"/>
    </w:rPr>
  </w:style>
  <w:style w:type="character" w:styleId="7">
    <w:name w:val="footnote reference"/>
    <w:basedOn w:val="6"/>
    <w:qFormat/>
    <w:uiPriority w:val="0"/>
    <w:rPr>
      <w:vertAlign w:val="superscript"/>
    </w:rPr>
  </w:style>
  <w:style w:type="character" w:customStyle="1" w:styleId="8">
    <w:name w:val="font31"/>
    <w:basedOn w:val="6"/>
    <w:autoRedefine/>
    <w:qFormat/>
    <w:uiPriority w:val="0"/>
    <w:rPr>
      <w:rFonts w:hint="eastAsia" w:ascii="仿宋" w:hAnsi="仿宋" w:eastAsia="仿宋" w:cs="仿宋"/>
      <w:b/>
      <w:bCs/>
      <w:color w:val="000000"/>
      <w:sz w:val="24"/>
      <w:szCs w:val="24"/>
      <w:u w:val="none"/>
    </w:rPr>
  </w:style>
  <w:style w:type="character" w:customStyle="1" w:styleId="9">
    <w:name w:val="font01"/>
    <w:basedOn w:val="6"/>
    <w:autoRedefine/>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2023-07-24T10:14:00Z</dcterms:created>
  <dc:creator>FY</dc:creator>
  <cp:lastModifiedBy>樊燕</cp:lastModifiedBy>
  <dcterms:modified xsi:type="dcterms:W3CDTF">2024-04-18T04:26:04Z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C126154D8AD445EAB81531E22E5F3C15_12</vt:lpwstr>
  </property>
</Properties>
</file>